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THE GOLDEN BALL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                         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I’ll give to you a diamond pin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                                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If that’s the way that love begins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C                     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If you will marry marry marry marry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                         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If you will marry me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don’t want your diamond pin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Since that’s the way that love begins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 I’ll not marry marry marry marry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I’ll not marry you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I’ll give to you a golden ball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To bounce from the kitchen to the hall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don’t want your golden ball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To bounce from the kitchen to the hall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I’ll give to you a rocking chair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 sit in the garden and take fresh air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don’t want your rocking chair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 sit in the garden and take fresh air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I’ll give to you a silver spoon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To eat your dinner in the afternoon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don’t want your silver spoon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To eat my dinner in the afternoon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I’ll give to you the keys of my chest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And all the money that I possess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 will take the keys of your chest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And all the money that you possess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And I will marry marry marry marry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will marry you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Ha ha ha now I see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You love my money but you don’t love me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And I’ll not marry marry marry marry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I’ll not marry you!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